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F8FF37D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660" cy="84899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120" cy="84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>Ministero per i Beni e le Attività Culturali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75pt;margin-top:0.4pt;width:325.7pt;height:66.75pt;mso-position-horizontal:center;mso-position-horizontal-relative:page" wp14:anchorId="4F8FF37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>Ministero per i Beni e le Attività Culturali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7. Materiali e manufatti in metallo e leghe - Oreficerie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953"/>
        <w:gridCol w:w="3682"/>
      </w:tblGrid>
      <w:tr>
        <w:trPr>
          <w:trHeight w:val="375" w:hRule="atLeast"/>
        </w:trPr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6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6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69"/>
        <w:gridCol w:w="2980"/>
        <w:gridCol w:w="3687"/>
      </w:tblGrid>
      <w:tr>
        <w:trPr>
          <w:trHeight w:val="450" w:hRule="atLeast"/>
        </w:trPr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35" w:hRule="atLeast"/>
        </w:trPr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60" w:hRule="atLeast"/>
        </w:trPr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Base </w:t>
            </w:r>
          </w:p>
        </w:tc>
        <w:tc>
          <w:tcPr>
            <w:tcW w:w="2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Da trasportare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sì         □ no                                       </w:t>
            </w:r>
          </w:p>
        </w:tc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Peso (Kg):</w:t>
            </w:r>
          </w:p>
        </w:tc>
      </w:tr>
      <w:tr>
        <w:trPr>
          <w:trHeight w:val="348" w:hRule="atLeast"/>
        </w:trPr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74"/>
        <w:gridCol w:w="6641"/>
      </w:tblGrid>
      <w:tr>
        <w:trPr>
          <w:trHeight w:val="360" w:hRule="atLeast"/>
        </w:trPr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25"/>
        <w:gridCol w:w="850"/>
        <w:gridCol w:w="4176"/>
        <w:gridCol w:w="784"/>
      </w:tblGrid>
      <w:tr>
        <w:trPr>
          <w:trHeight w:val="197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</w:t>
            </w:r>
            <w:r>
              <w:rPr>
                <w:rFonts w:cs="Times New Roman"/>
                <w:color w:val="FF0000"/>
                <w:lang w:val="it-IT"/>
              </w:rPr>
              <w:t xml:space="preserve">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Sconnessioni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cromatiche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materiche/ Deformazioni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Perdita elementi decorativi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Integrazioni/ Rifacimenti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Incrostazioni/ Concrezioni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Ossidazioni/ Corrosioni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542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Descrizione e localizzazione/ note: 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5"/>
        <w:gridCol w:w="4819"/>
      </w:tblGrid>
      <w:tr>
        <w:trPr/>
        <w:tc>
          <w:tcPr>
            <w:tcW w:w="4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UR %                 Lux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bookmarkStart w:id="3" w:name="__DdeLink__989_383926416"/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                              UR %   ≤ 45                               Lux ≥   150</w:t>
            </w:r>
            <w:bookmarkEnd w:id="3"/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720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Schermatura: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36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                                </w:t>
            </w:r>
            <w:bookmarkStart w:id="4" w:name="_GoBack"/>
            <w:bookmarkEnd w:id="4"/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*Luogo/Data</w:t>
            </w:r>
          </w:p>
        </w:tc>
        <w:tc>
          <w:tcPr>
            <w:tcW w:w="7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LibreOffice/6.0.3.2$Windows_X86_64 LibreOffice_project/8f48d515416608e3a835360314dac7e47fd0b821</Application>
  <Pages>3</Pages>
  <Words>457</Words>
  <Characters>2745</Characters>
  <CharactersWithSpaces>3925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2018-06-04T07:13:00Z</dcterms:created>
  <dc:creator>Spezzaferro Livia</dc:creator>
  <dc:description/>
  <dc:language>it-IT</dc:language>
  <cp:lastModifiedBy/>
  <cp:lastPrinted>2017-03-28T12:51:00Z</cp:lastPrinted>
  <dcterms:modified xsi:type="dcterms:W3CDTF">2019-02-21T15:43:45Z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